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2C" w:rsidRDefault="0017672C" w:rsidP="0017672C">
      <w:pPr>
        <w:widowControl/>
        <w:jc w:val="left"/>
        <w:rPr>
          <w:rFonts w:ascii="仿宋_GB2312" w:eastAsia="仿宋_GB2312" w:hAnsi="仿宋" w:hint="eastAsia"/>
          <w:sz w:val="32"/>
          <w:szCs w:val="32"/>
        </w:rPr>
      </w:pPr>
      <w:r>
        <w:rPr>
          <w:rFonts w:ascii="仿宋_GB2312" w:eastAsia="仿宋_GB2312" w:hAnsi="仿宋" w:hint="eastAsia"/>
          <w:sz w:val="32"/>
          <w:szCs w:val="32"/>
        </w:rPr>
        <w:t>附件2</w:t>
      </w:r>
    </w:p>
    <w:tbl>
      <w:tblPr>
        <w:tblpPr w:leftFromText="180" w:rightFromText="180" w:vertAnchor="page" w:horzAnchor="page" w:tblpXSpec="center" w:tblpY="29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1395"/>
        <w:gridCol w:w="7690"/>
      </w:tblGrid>
      <w:tr w:rsidR="0017672C" w:rsidTr="004F4F63">
        <w:trPr>
          <w:trHeight w:val="786"/>
        </w:trPr>
        <w:tc>
          <w:tcPr>
            <w:tcW w:w="418" w:type="dxa"/>
            <w:vAlign w:val="center"/>
          </w:tcPr>
          <w:p w:rsidR="0017672C" w:rsidRDefault="0017672C" w:rsidP="004F4F63">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395" w:type="dxa"/>
            <w:vAlign w:val="center"/>
          </w:tcPr>
          <w:p w:rsidR="0017672C" w:rsidRDefault="0017672C" w:rsidP="004F4F63">
            <w:pPr>
              <w:widowControl/>
              <w:jc w:val="center"/>
              <w:rPr>
                <w:rFonts w:ascii="宋体" w:hAnsi="宋体" w:cs="宋体"/>
                <w:color w:val="000000"/>
                <w:kern w:val="0"/>
                <w:sz w:val="24"/>
                <w:szCs w:val="24"/>
              </w:rPr>
            </w:pPr>
            <w:r>
              <w:rPr>
                <w:rFonts w:ascii="宋体" w:hAnsi="宋体" w:cs="宋体" w:hint="eastAsia"/>
                <w:color w:val="000000"/>
                <w:kern w:val="0"/>
                <w:sz w:val="24"/>
                <w:szCs w:val="24"/>
              </w:rPr>
              <w:t>课程名称</w:t>
            </w:r>
          </w:p>
        </w:tc>
        <w:tc>
          <w:tcPr>
            <w:tcW w:w="7690" w:type="dxa"/>
            <w:vAlign w:val="center"/>
          </w:tcPr>
          <w:p w:rsidR="0017672C" w:rsidRDefault="0017672C" w:rsidP="004F4F63">
            <w:pPr>
              <w:widowControl/>
              <w:jc w:val="center"/>
              <w:rPr>
                <w:rFonts w:ascii="宋体" w:hAnsi="宋体" w:cs="宋体"/>
                <w:color w:val="000000"/>
                <w:kern w:val="0"/>
                <w:sz w:val="24"/>
                <w:szCs w:val="24"/>
              </w:rPr>
            </w:pPr>
            <w:r>
              <w:rPr>
                <w:rFonts w:ascii="宋体" w:hAnsi="宋体" w:cs="宋体" w:hint="eastAsia"/>
                <w:color w:val="000000"/>
                <w:kern w:val="0"/>
                <w:sz w:val="24"/>
                <w:szCs w:val="24"/>
              </w:rPr>
              <w:t>主要内容</w:t>
            </w:r>
          </w:p>
        </w:tc>
      </w:tr>
      <w:tr w:rsidR="0017672C" w:rsidTr="004F4F63">
        <w:trPr>
          <w:trHeight w:val="1147"/>
        </w:trPr>
        <w:tc>
          <w:tcPr>
            <w:tcW w:w="418" w:type="dxa"/>
            <w:vMerge w:val="restart"/>
            <w:vAlign w:val="center"/>
          </w:tcPr>
          <w:p w:rsidR="0017672C" w:rsidRDefault="0017672C" w:rsidP="004F4F63">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395" w:type="dxa"/>
            <w:vMerge w:val="restart"/>
            <w:vAlign w:val="center"/>
          </w:tcPr>
          <w:p w:rsidR="0017672C" w:rsidRDefault="0017672C" w:rsidP="004F4F63">
            <w:pPr>
              <w:widowControl/>
              <w:jc w:val="center"/>
              <w:rPr>
                <w:rFonts w:ascii="宋体" w:hAnsi="宋体" w:cs="宋体"/>
                <w:color w:val="000000"/>
                <w:kern w:val="0"/>
                <w:sz w:val="24"/>
                <w:szCs w:val="24"/>
              </w:rPr>
            </w:pPr>
            <w:r>
              <w:rPr>
                <w:rFonts w:ascii="宋体" w:hAnsi="宋体" w:cs="宋体" w:hint="eastAsia"/>
                <w:color w:val="000000"/>
                <w:kern w:val="0"/>
                <w:sz w:val="24"/>
                <w:szCs w:val="24"/>
              </w:rPr>
              <w:t>《企业知识产权管理规范》解读分析</w:t>
            </w:r>
          </w:p>
        </w:tc>
        <w:tc>
          <w:tcPr>
            <w:tcW w:w="7690" w:type="dxa"/>
            <w:vAlign w:val="center"/>
          </w:tcPr>
          <w:p w:rsidR="0017672C" w:rsidRDefault="0017672C" w:rsidP="004F4F63">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培训目的：</w:t>
            </w:r>
            <w:r>
              <w:rPr>
                <w:rFonts w:ascii="宋体" w:hAnsi="宋体" w:cs="宋体" w:hint="eastAsia"/>
                <w:color w:val="000000"/>
                <w:kern w:val="0"/>
                <w:sz w:val="24"/>
                <w:szCs w:val="24"/>
              </w:rPr>
              <w:t>解析GB/T 29490-2013《企业知识产权管理规范》 ，拓展对标准的理解，为后续工作的开展打下坚实的理论基础。</w:t>
            </w:r>
          </w:p>
        </w:tc>
      </w:tr>
      <w:tr w:rsidR="0017672C" w:rsidTr="004F4F63">
        <w:trPr>
          <w:trHeight w:val="912"/>
        </w:trPr>
        <w:tc>
          <w:tcPr>
            <w:tcW w:w="418" w:type="dxa"/>
            <w:vMerge/>
            <w:vAlign w:val="center"/>
          </w:tcPr>
          <w:p w:rsidR="0017672C" w:rsidRDefault="0017672C" w:rsidP="004F4F63">
            <w:pPr>
              <w:widowControl/>
              <w:jc w:val="left"/>
              <w:rPr>
                <w:rFonts w:ascii="宋体" w:hAnsi="宋体" w:cs="宋体"/>
                <w:color w:val="000000"/>
                <w:kern w:val="0"/>
                <w:sz w:val="24"/>
                <w:szCs w:val="24"/>
              </w:rPr>
            </w:pPr>
          </w:p>
        </w:tc>
        <w:tc>
          <w:tcPr>
            <w:tcW w:w="1395" w:type="dxa"/>
            <w:vMerge/>
            <w:vAlign w:val="center"/>
          </w:tcPr>
          <w:p w:rsidR="0017672C" w:rsidRDefault="0017672C" w:rsidP="004F4F63">
            <w:pPr>
              <w:widowControl/>
              <w:jc w:val="left"/>
              <w:rPr>
                <w:rFonts w:ascii="宋体" w:hAnsi="宋体" w:cs="宋体"/>
                <w:color w:val="000000"/>
                <w:kern w:val="0"/>
                <w:sz w:val="24"/>
                <w:szCs w:val="24"/>
              </w:rPr>
            </w:pPr>
          </w:p>
        </w:tc>
        <w:tc>
          <w:tcPr>
            <w:tcW w:w="7690" w:type="dxa"/>
            <w:vAlign w:val="center"/>
          </w:tcPr>
          <w:p w:rsidR="0017672C" w:rsidRDefault="0017672C" w:rsidP="004F4F63">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知识要点：</w:t>
            </w:r>
            <w:r>
              <w:rPr>
                <w:rFonts w:ascii="宋体" w:hAnsi="宋体" w:cs="宋体" w:hint="eastAsia"/>
                <w:color w:val="000000"/>
                <w:kern w:val="0"/>
                <w:sz w:val="24"/>
                <w:szCs w:val="24"/>
              </w:rPr>
              <w:t>GB/T 29490-2013 《企业知识产权管理规范》精读，结合案例详解标准条款的要求和内涵。</w:t>
            </w:r>
          </w:p>
        </w:tc>
      </w:tr>
      <w:tr w:rsidR="0017672C" w:rsidTr="004F4F63">
        <w:trPr>
          <w:trHeight w:val="732"/>
        </w:trPr>
        <w:tc>
          <w:tcPr>
            <w:tcW w:w="418" w:type="dxa"/>
            <w:vMerge w:val="restart"/>
            <w:vAlign w:val="center"/>
          </w:tcPr>
          <w:p w:rsidR="0017672C" w:rsidRDefault="0017672C" w:rsidP="004F4F63">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395" w:type="dxa"/>
            <w:vMerge w:val="restart"/>
            <w:vAlign w:val="center"/>
          </w:tcPr>
          <w:p w:rsidR="0017672C" w:rsidRDefault="0017672C" w:rsidP="004F4F63">
            <w:pPr>
              <w:widowControl/>
              <w:jc w:val="left"/>
              <w:rPr>
                <w:rFonts w:ascii="宋体" w:hAnsi="宋体" w:cs="宋体"/>
                <w:color w:val="000000"/>
                <w:kern w:val="0"/>
                <w:sz w:val="24"/>
                <w:szCs w:val="24"/>
              </w:rPr>
            </w:pPr>
            <w:r>
              <w:rPr>
                <w:rFonts w:ascii="宋体" w:hAnsi="宋体" w:cs="宋体" w:hint="eastAsia"/>
                <w:color w:val="000000"/>
                <w:kern w:val="0"/>
                <w:sz w:val="24"/>
                <w:szCs w:val="24"/>
              </w:rPr>
              <w:t>企业实现标准化后对企业发展的作用</w:t>
            </w:r>
          </w:p>
        </w:tc>
        <w:tc>
          <w:tcPr>
            <w:tcW w:w="7690" w:type="dxa"/>
            <w:vAlign w:val="center"/>
          </w:tcPr>
          <w:p w:rsidR="0017672C" w:rsidRDefault="0017672C" w:rsidP="004F4F63">
            <w:pPr>
              <w:widowControl/>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培训目的：</w:t>
            </w:r>
            <w:r>
              <w:rPr>
                <w:rFonts w:ascii="宋体" w:hAnsi="宋体" w:cs="宋体" w:hint="eastAsia"/>
                <w:color w:val="000000"/>
                <w:kern w:val="0"/>
                <w:sz w:val="24"/>
                <w:szCs w:val="24"/>
              </w:rPr>
              <w:t>通过运用标准化，充分发挥标准化的作用，使企业实现标准化，科学化管理，为企业获得最大的经济效益提供保障。</w:t>
            </w:r>
          </w:p>
        </w:tc>
      </w:tr>
      <w:tr w:rsidR="0017672C" w:rsidTr="004F4F63">
        <w:trPr>
          <w:trHeight w:val="765"/>
        </w:trPr>
        <w:tc>
          <w:tcPr>
            <w:tcW w:w="418" w:type="dxa"/>
            <w:vMerge/>
            <w:vAlign w:val="center"/>
          </w:tcPr>
          <w:p w:rsidR="0017672C" w:rsidRDefault="0017672C" w:rsidP="004F4F63">
            <w:pPr>
              <w:widowControl/>
              <w:jc w:val="left"/>
              <w:rPr>
                <w:rFonts w:ascii="宋体" w:hAnsi="宋体" w:cs="宋体"/>
                <w:color w:val="000000"/>
                <w:kern w:val="0"/>
                <w:sz w:val="24"/>
                <w:szCs w:val="24"/>
              </w:rPr>
            </w:pPr>
          </w:p>
        </w:tc>
        <w:tc>
          <w:tcPr>
            <w:tcW w:w="1395" w:type="dxa"/>
            <w:vMerge/>
            <w:vAlign w:val="center"/>
          </w:tcPr>
          <w:p w:rsidR="0017672C" w:rsidRDefault="0017672C" w:rsidP="004F4F63">
            <w:pPr>
              <w:widowControl/>
              <w:jc w:val="left"/>
              <w:rPr>
                <w:rFonts w:ascii="宋体" w:hAnsi="宋体" w:cs="宋体" w:hint="eastAsia"/>
                <w:color w:val="000000"/>
                <w:kern w:val="0"/>
                <w:sz w:val="24"/>
                <w:szCs w:val="24"/>
              </w:rPr>
            </w:pPr>
          </w:p>
        </w:tc>
        <w:tc>
          <w:tcPr>
            <w:tcW w:w="7690" w:type="dxa"/>
            <w:vAlign w:val="center"/>
          </w:tcPr>
          <w:p w:rsidR="0017672C" w:rsidRDefault="0017672C" w:rsidP="004F4F63">
            <w:pPr>
              <w:widowControl/>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知识要点：</w:t>
            </w:r>
            <w:r>
              <w:rPr>
                <w:rFonts w:ascii="宋体" w:hAnsi="宋体" w:cs="宋体" w:hint="eastAsia"/>
                <w:color w:val="000000"/>
                <w:kern w:val="0"/>
                <w:sz w:val="24"/>
                <w:szCs w:val="24"/>
              </w:rPr>
              <w:t>了解标准化工作在企业管理中的地位和作用，通过案例清楚标准化工作开展的意义。</w:t>
            </w:r>
          </w:p>
        </w:tc>
      </w:tr>
      <w:tr w:rsidR="0017672C" w:rsidTr="004F4F63">
        <w:trPr>
          <w:trHeight w:val="1502"/>
        </w:trPr>
        <w:tc>
          <w:tcPr>
            <w:tcW w:w="418" w:type="dxa"/>
            <w:vMerge w:val="restart"/>
            <w:vAlign w:val="center"/>
          </w:tcPr>
          <w:p w:rsidR="0017672C" w:rsidRDefault="0017672C" w:rsidP="004F4F63">
            <w:pPr>
              <w:widowControl/>
              <w:jc w:val="center"/>
              <w:rPr>
                <w:rFonts w:ascii="宋体" w:hAnsi="宋体" w:cs="宋体"/>
                <w:color w:val="000000"/>
                <w:kern w:val="0"/>
                <w:sz w:val="24"/>
                <w:szCs w:val="24"/>
              </w:rPr>
            </w:pPr>
            <w:r>
              <w:rPr>
                <w:rFonts w:ascii="宋体" w:hAnsi="宋体" w:cs="宋体"/>
                <w:color w:val="000000"/>
                <w:kern w:val="0"/>
                <w:sz w:val="24"/>
                <w:szCs w:val="24"/>
              </w:rPr>
              <w:t>3</w:t>
            </w:r>
          </w:p>
        </w:tc>
        <w:tc>
          <w:tcPr>
            <w:tcW w:w="1395" w:type="dxa"/>
            <w:vMerge w:val="restart"/>
            <w:vAlign w:val="center"/>
          </w:tcPr>
          <w:p w:rsidR="0017672C" w:rsidRDefault="0017672C" w:rsidP="004F4F63">
            <w:pPr>
              <w:widowControl/>
              <w:jc w:val="center"/>
              <w:rPr>
                <w:rFonts w:ascii="宋体" w:hAnsi="宋体" w:cs="宋体"/>
                <w:color w:val="000000"/>
                <w:kern w:val="0"/>
                <w:sz w:val="24"/>
                <w:szCs w:val="24"/>
              </w:rPr>
            </w:pPr>
            <w:r>
              <w:rPr>
                <w:rFonts w:ascii="宋体" w:hAnsi="宋体" w:cs="宋体" w:hint="eastAsia"/>
                <w:color w:val="000000"/>
                <w:kern w:val="0"/>
                <w:sz w:val="24"/>
                <w:szCs w:val="24"/>
              </w:rPr>
              <w:t>企业知识产权管理体系诊断与构建</w:t>
            </w:r>
          </w:p>
        </w:tc>
        <w:tc>
          <w:tcPr>
            <w:tcW w:w="7690" w:type="dxa"/>
            <w:vAlign w:val="center"/>
          </w:tcPr>
          <w:p w:rsidR="0017672C" w:rsidRDefault="0017672C" w:rsidP="004F4F63">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培训目的：</w:t>
            </w:r>
            <w:r>
              <w:rPr>
                <w:rFonts w:ascii="宋体" w:hAnsi="宋体" w:cs="宋体" w:hint="eastAsia"/>
                <w:color w:val="000000"/>
                <w:kern w:val="0"/>
                <w:sz w:val="24"/>
                <w:szCs w:val="24"/>
              </w:rPr>
              <w:t>注重GB/T 29490-2013《企业知识产权管理规范》的拓展，培养企业对体系建构、流程管理、条款运用的实践能力，有效识别企业的贯标需求和管理需求，有针对性地结合实际开展贯标工作。</w:t>
            </w:r>
          </w:p>
        </w:tc>
      </w:tr>
      <w:tr w:rsidR="0017672C" w:rsidTr="004F4F63">
        <w:trPr>
          <w:trHeight w:val="2186"/>
        </w:trPr>
        <w:tc>
          <w:tcPr>
            <w:tcW w:w="418" w:type="dxa"/>
            <w:vMerge/>
            <w:vAlign w:val="center"/>
          </w:tcPr>
          <w:p w:rsidR="0017672C" w:rsidRDefault="0017672C" w:rsidP="004F4F63">
            <w:pPr>
              <w:widowControl/>
              <w:jc w:val="left"/>
              <w:rPr>
                <w:rFonts w:ascii="宋体" w:hAnsi="宋体" w:cs="宋体"/>
                <w:color w:val="000000"/>
                <w:kern w:val="0"/>
                <w:sz w:val="24"/>
                <w:szCs w:val="24"/>
              </w:rPr>
            </w:pPr>
          </w:p>
        </w:tc>
        <w:tc>
          <w:tcPr>
            <w:tcW w:w="1395" w:type="dxa"/>
            <w:vMerge/>
            <w:vAlign w:val="center"/>
          </w:tcPr>
          <w:p w:rsidR="0017672C" w:rsidRDefault="0017672C" w:rsidP="004F4F63">
            <w:pPr>
              <w:widowControl/>
              <w:jc w:val="left"/>
              <w:rPr>
                <w:rFonts w:ascii="宋体" w:hAnsi="宋体" w:cs="宋体"/>
                <w:color w:val="000000"/>
                <w:kern w:val="0"/>
                <w:sz w:val="24"/>
                <w:szCs w:val="24"/>
              </w:rPr>
            </w:pPr>
          </w:p>
        </w:tc>
        <w:tc>
          <w:tcPr>
            <w:tcW w:w="7690" w:type="dxa"/>
            <w:vAlign w:val="center"/>
          </w:tcPr>
          <w:p w:rsidR="0017672C" w:rsidRDefault="0017672C" w:rsidP="004F4F63">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知识要点：</w:t>
            </w:r>
            <w:r>
              <w:rPr>
                <w:rFonts w:ascii="宋体" w:hAnsi="宋体" w:cs="宋体" w:hint="eastAsia"/>
                <w:color w:val="000000"/>
                <w:kern w:val="0"/>
                <w:sz w:val="24"/>
                <w:szCs w:val="24"/>
              </w:rPr>
              <w:t>结合丰富案例讲解企业根据标准要求建立知识产权管理体系的全流程工作要点和难点，包括：1、体系诊断和培训要点；2、知识产权管理全体系文件（手册、程序制度、表单）编制和运用；3、采购、生产、销售、人事、研发、财务六大职能的资源配置和流程搭建；4、风险控制工作的拆解与构建。</w:t>
            </w:r>
          </w:p>
        </w:tc>
      </w:tr>
      <w:tr w:rsidR="0017672C" w:rsidTr="004F4F63">
        <w:trPr>
          <w:trHeight w:val="781"/>
        </w:trPr>
        <w:tc>
          <w:tcPr>
            <w:tcW w:w="418" w:type="dxa"/>
            <w:vMerge w:val="restart"/>
            <w:vAlign w:val="center"/>
          </w:tcPr>
          <w:p w:rsidR="0017672C" w:rsidRDefault="0017672C" w:rsidP="004F4F63">
            <w:pPr>
              <w:widowControl/>
              <w:jc w:val="center"/>
              <w:rPr>
                <w:rFonts w:ascii="宋体" w:hAnsi="宋体" w:cs="宋体"/>
                <w:color w:val="000000"/>
                <w:kern w:val="0"/>
                <w:sz w:val="24"/>
                <w:szCs w:val="24"/>
              </w:rPr>
            </w:pPr>
            <w:r>
              <w:rPr>
                <w:rFonts w:ascii="宋体" w:hAnsi="宋体" w:cs="宋体"/>
                <w:color w:val="000000"/>
                <w:kern w:val="0"/>
                <w:sz w:val="24"/>
                <w:szCs w:val="24"/>
              </w:rPr>
              <w:t>4</w:t>
            </w:r>
          </w:p>
        </w:tc>
        <w:tc>
          <w:tcPr>
            <w:tcW w:w="1395" w:type="dxa"/>
            <w:vMerge w:val="restart"/>
            <w:vAlign w:val="center"/>
          </w:tcPr>
          <w:p w:rsidR="0017672C" w:rsidRDefault="0017672C" w:rsidP="004F4F63">
            <w:pPr>
              <w:widowControl/>
              <w:jc w:val="center"/>
              <w:rPr>
                <w:rFonts w:ascii="宋体" w:hAnsi="宋体" w:cs="宋体"/>
                <w:color w:val="000000"/>
                <w:kern w:val="0"/>
                <w:sz w:val="24"/>
                <w:szCs w:val="24"/>
              </w:rPr>
            </w:pPr>
            <w:r>
              <w:rPr>
                <w:rFonts w:ascii="宋体" w:hAnsi="宋体" w:cs="宋体" w:hint="eastAsia"/>
                <w:color w:val="000000"/>
                <w:kern w:val="0"/>
                <w:sz w:val="24"/>
                <w:szCs w:val="24"/>
              </w:rPr>
              <w:t>知识产权管理体系审核理论知识</w:t>
            </w:r>
          </w:p>
        </w:tc>
        <w:tc>
          <w:tcPr>
            <w:tcW w:w="7690" w:type="dxa"/>
            <w:vAlign w:val="center"/>
          </w:tcPr>
          <w:p w:rsidR="0017672C" w:rsidRDefault="0017672C" w:rsidP="004F4F63">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培训目的：</w:t>
            </w:r>
            <w:r>
              <w:rPr>
                <w:rFonts w:ascii="宋体" w:hAnsi="宋体" w:cs="宋体" w:hint="eastAsia"/>
                <w:color w:val="000000"/>
                <w:kern w:val="0"/>
                <w:sz w:val="24"/>
                <w:szCs w:val="24"/>
              </w:rPr>
              <w:t>培训企业知识产权工作人员了解内部审核和管理评审的流程和方法。</w:t>
            </w:r>
          </w:p>
        </w:tc>
      </w:tr>
      <w:tr w:rsidR="0017672C" w:rsidTr="004F4F63">
        <w:trPr>
          <w:trHeight w:val="918"/>
        </w:trPr>
        <w:tc>
          <w:tcPr>
            <w:tcW w:w="418" w:type="dxa"/>
            <w:vMerge/>
            <w:vAlign w:val="center"/>
          </w:tcPr>
          <w:p w:rsidR="0017672C" w:rsidRDefault="0017672C" w:rsidP="004F4F63">
            <w:pPr>
              <w:widowControl/>
              <w:jc w:val="left"/>
              <w:rPr>
                <w:rFonts w:ascii="宋体" w:hAnsi="宋体" w:cs="宋体"/>
                <w:color w:val="000000"/>
                <w:kern w:val="0"/>
                <w:sz w:val="24"/>
                <w:szCs w:val="24"/>
              </w:rPr>
            </w:pPr>
          </w:p>
        </w:tc>
        <w:tc>
          <w:tcPr>
            <w:tcW w:w="1395" w:type="dxa"/>
            <w:vMerge/>
            <w:vAlign w:val="center"/>
          </w:tcPr>
          <w:p w:rsidR="0017672C" w:rsidRDefault="0017672C" w:rsidP="004F4F63">
            <w:pPr>
              <w:widowControl/>
              <w:jc w:val="left"/>
              <w:rPr>
                <w:rFonts w:ascii="宋体" w:hAnsi="宋体" w:cs="宋体"/>
                <w:color w:val="000000"/>
                <w:kern w:val="0"/>
                <w:sz w:val="24"/>
                <w:szCs w:val="24"/>
              </w:rPr>
            </w:pPr>
          </w:p>
        </w:tc>
        <w:tc>
          <w:tcPr>
            <w:tcW w:w="7690" w:type="dxa"/>
            <w:vAlign w:val="center"/>
          </w:tcPr>
          <w:p w:rsidR="0017672C" w:rsidRDefault="0017672C" w:rsidP="004F4F63">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知识要点：</w:t>
            </w:r>
            <w:r>
              <w:rPr>
                <w:rFonts w:ascii="宋体" w:hAnsi="宋体" w:cs="宋体" w:hint="eastAsia"/>
                <w:color w:val="000000"/>
                <w:kern w:val="0"/>
                <w:sz w:val="24"/>
                <w:szCs w:val="24"/>
              </w:rPr>
              <w:t>1、熟悉审核基础知识；2、内部审核的流程和方法；3、管理评审的流程和方法。</w:t>
            </w:r>
          </w:p>
        </w:tc>
      </w:tr>
      <w:tr w:rsidR="0017672C" w:rsidTr="004F4F63">
        <w:trPr>
          <w:trHeight w:val="958"/>
        </w:trPr>
        <w:tc>
          <w:tcPr>
            <w:tcW w:w="418" w:type="dxa"/>
            <w:vMerge w:val="restart"/>
            <w:vAlign w:val="center"/>
          </w:tcPr>
          <w:p w:rsidR="0017672C" w:rsidRDefault="0017672C" w:rsidP="004F4F63">
            <w:pPr>
              <w:widowControl/>
              <w:jc w:val="center"/>
              <w:rPr>
                <w:rFonts w:ascii="宋体" w:hAnsi="宋体" w:cs="宋体"/>
                <w:color w:val="000000"/>
                <w:kern w:val="0"/>
                <w:sz w:val="24"/>
                <w:szCs w:val="24"/>
              </w:rPr>
            </w:pPr>
            <w:r>
              <w:rPr>
                <w:rFonts w:ascii="宋体" w:hAnsi="宋体" w:cs="宋体"/>
                <w:color w:val="000000"/>
                <w:kern w:val="0"/>
                <w:sz w:val="24"/>
                <w:szCs w:val="24"/>
              </w:rPr>
              <w:t>5</w:t>
            </w:r>
          </w:p>
        </w:tc>
        <w:tc>
          <w:tcPr>
            <w:tcW w:w="1395" w:type="dxa"/>
            <w:vMerge w:val="restart"/>
            <w:vAlign w:val="center"/>
          </w:tcPr>
          <w:p w:rsidR="0017672C" w:rsidRDefault="0017672C" w:rsidP="004F4F63">
            <w:pPr>
              <w:widowControl/>
              <w:jc w:val="center"/>
              <w:rPr>
                <w:rFonts w:ascii="宋体" w:hAnsi="宋体" w:cs="宋体"/>
                <w:color w:val="000000"/>
                <w:kern w:val="0"/>
                <w:sz w:val="24"/>
                <w:szCs w:val="24"/>
              </w:rPr>
            </w:pPr>
            <w:r>
              <w:rPr>
                <w:rFonts w:ascii="宋体" w:hAnsi="宋体" w:cs="宋体" w:hint="eastAsia"/>
                <w:color w:val="000000"/>
                <w:kern w:val="0"/>
                <w:sz w:val="24"/>
                <w:szCs w:val="24"/>
              </w:rPr>
              <w:t>认证准备与认证流程</w:t>
            </w:r>
          </w:p>
        </w:tc>
        <w:tc>
          <w:tcPr>
            <w:tcW w:w="7690" w:type="dxa"/>
            <w:vAlign w:val="center"/>
          </w:tcPr>
          <w:p w:rsidR="0017672C" w:rsidRDefault="0017672C" w:rsidP="004F4F63">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培训目的：</w:t>
            </w:r>
            <w:r>
              <w:rPr>
                <w:rFonts w:ascii="宋体" w:hAnsi="宋体" w:cs="宋体" w:hint="eastAsia"/>
                <w:color w:val="000000"/>
                <w:kern w:val="0"/>
                <w:sz w:val="24"/>
                <w:szCs w:val="24"/>
              </w:rPr>
              <w:t>了解认证申请基本流程，及时通过第三方认证，提高知识产权管理能力。</w:t>
            </w:r>
          </w:p>
        </w:tc>
      </w:tr>
      <w:tr w:rsidR="0017672C" w:rsidTr="004F4F63">
        <w:trPr>
          <w:trHeight w:val="506"/>
        </w:trPr>
        <w:tc>
          <w:tcPr>
            <w:tcW w:w="418" w:type="dxa"/>
            <w:vMerge/>
            <w:vAlign w:val="center"/>
          </w:tcPr>
          <w:p w:rsidR="0017672C" w:rsidRDefault="0017672C" w:rsidP="004F4F63">
            <w:pPr>
              <w:widowControl/>
              <w:jc w:val="left"/>
              <w:rPr>
                <w:rFonts w:ascii="宋体" w:hAnsi="宋体" w:cs="宋体"/>
                <w:color w:val="000000"/>
                <w:kern w:val="0"/>
                <w:sz w:val="24"/>
                <w:szCs w:val="24"/>
              </w:rPr>
            </w:pPr>
          </w:p>
        </w:tc>
        <w:tc>
          <w:tcPr>
            <w:tcW w:w="1395" w:type="dxa"/>
            <w:vMerge/>
            <w:vAlign w:val="center"/>
          </w:tcPr>
          <w:p w:rsidR="0017672C" w:rsidRDefault="0017672C" w:rsidP="004F4F63">
            <w:pPr>
              <w:widowControl/>
              <w:jc w:val="left"/>
              <w:rPr>
                <w:rFonts w:ascii="宋体" w:hAnsi="宋体" w:cs="宋体"/>
                <w:color w:val="000000"/>
                <w:kern w:val="0"/>
                <w:sz w:val="24"/>
                <w:szCs w:val="24"/>
              </w:rPr>
            </w:pPr>
          </w:p>
        </w:tc>
        <w:tc>
          <w:tcPr>
            <w:tcW w:w="7690" w:type="dxa"/>
            <w:vAlign w:val="center"/>
          </w:tcPr>
          <w:p w:rsidR="0017672C" w:rsidRDefault="0017672C" w:rsidP="004F4F63">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知识要点：</w:t>
            </w:r>
            <w:r>
              <w:rPr>
                <w:rFonts w:ascii="宋体" w:hAnsi="宋体" w:cs="宋体" w:hint="eastAsia"/>
                <w:color w:val="000000"/>
                <w:kern w:val="0"/>
                <w:sz w:val="24"/>
                <w:szCs w:val="24"/>
              </w:rPr>
              <w:t>认证申请需提供的材料及流程。熟悉认证审核流程。</w:t>
            </w:r>
          </w:p>
        </w:tc>
      </w:tr>
      <w:tr w:rsidR="0017672C" w:rsidTr="004F4F63">
        <w:trPr>
          <w:trHeight w:val="725"/>
        </w:trPr>
        <w:tc>
          <w:tcPr>
            <w:tcW w:w="1813" w:type="dxa"/>
            <w:gridSpan w:val="2"/>
            <w:vAlign w:val="center"/>
          </w:tcPr>
          <w:p w:rsidR="0017672C" w:rsidRDefault="0017672C" w:rsidP="004F4F63">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c>
          <w:tcPr>
            <w:tcW w:w="7690" w:type="dxa"/>
            <w:vAlign w:val="center"/>
          </w:tcPr>
          <w:p w:rsidR="0017672C" w:rsidRDefault="0017672C" w:rsidP="004F4F63">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培训课程可能会有局部调整。</w:t>
            </w:r>
          </w:p>
        </w:tc>
      </w:tr>
    </w:tbl>
    <w:p w:rsidR="00640F33" w:rsidRDefault="0017672C">
      <w:r>
        <w:rPr>
          <w:rFonts w:ascii="黑体" w:eastAsia="黑体" w:hAnsi="黑体" w:hint="eastAsia"/>
          <w:sz w:val="36"/>
          <w:szCs w:val="36"/>
        </w:rPr>
        <w:t>企业知识产权管理体系实务（内审员）培训</w:t>
      </w:r>
      <w:bookmarkStart w:id="0" w:name="_GoBack"/>
      <w:bookmarkEnd w:id="0"/>
    </w:p>
    <w:sectPr w:rsidR="00640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72C"/>
    <w:rsid w:val="0017672C"/>
    <w:rsid w:val="00472D6B"/>
    <w:rsid w:val="008C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2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176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2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176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Sky123.Org</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2018-08-29T01:38:00Z</dcterms:created>
  <dcterms:modified xsi:type="dcterms:W3CDTF">2018-08-29T01:38:00Z</dcterms:modified>
</cp:coreProperties>
</file>